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t xml:space="preserve">[ATTORNEY NAME]</w:t>
      </w:r>
      <w:r>
        <w:t xml:space="preserve"> [(SBN #####)]</w:t>
      </w:r>
    </w:p>
    <w:p>
      <w:pPr>
        <w:spacing w:after="0"/>
      </w:pPr>
      <w:r>
        <w:t xml:space="preserve">[FIRM NAME]</w:t>
      </w:r>
    </w:p>
    <w:p>
      <w:pPr>
        <w:spacing w:after="0"/>
      </w:pPr>
      <w:r>
        <w:t xml:space="preserve">[STREET ADDRESS]</w:t>
      </w:r>
    </w:p>
    <w:p>
      <w:pPr>
        <w:spacing w:after="0"/>
      </w:pPr>
      <w:r>
        <w:t xml:space="preserve">[CITY, STATE, ZIP]</w:t>
      </w:r>
    </w:p>
    <w:p>
      <w:pPr>
        <w:spacing w:after="0"/>
      </w:pPr>
      <w:r>
        <w:t xml:space="preserve">[Telephone: (###) ### - #####]</w:t>
      </w:r>
    </w:p>
    <w:p>
      <w:pPr>
        <w:spacing w:after="240"/>
      </w:pPr>
      <w:r>
        <w:t xml:space="preserve">[Facsimile: (###) ### - #####]</w:t>
      </w:r>
    </w:p>
    <w:p>
      <w:pPr>
        <w:spacing w:after="0"/>
      </w:pPr>
      <w:r>
        <w:t xml:space="preserve">Attorney for PLAINTIFF</w:t>
      </w:r>
    </w:p>
    <w:p>
      <w:pPr>
        <w:spacing w:after="400"/>
      </w:pPr>
      <w:r>
        <w:t xml:space="preserve">[PLAINTIFF/DEFENDANT FULL NAME]</w:t>
      </w:r>
    </w:p>
    <w:p>
      <w:pPr>
        <w:spacing w:after="400"/>
        <w:jc w:val="center"/>
      </w:pPr>
      <w:r>
        <w:rPr>
          <w:b/>
          <w:bCs/>
          <w:sz w:val="24"/>
          <w:szCs w:val="24"/>
        </w:rPr>
        <w:t xml:space="preserve">STATE AND FEDERAL</w:t>
      </w:r>
    </w:p>
    <w:tbl>
      <w:tblPr>
        <w:tblW w:type="dxa" w:w="9360"/>
        <w:tblBorders>
          <w:top w:val="none" w:sz="0"/>
          <w:left w:val="none" w:sz="0"/>
          <w:bottom w:val="none" w:sz="0"/>
          <w:right w:val="none" w:sz="0"/>
          <w:insideH w:val="none" w:sz="0"/>
          <w:insideV w:val="none" w:sz="0"/>
        </w:tblBorders>
        <w:tblLayout w:type="fixed"/>
      </w:tblPr>
      <w:tblGrid>
        <w:gridCol w:w="3500"/>
        <w:gridCol w:w="230"/>
        <w:gridCol w:w="5630"/>
      </w:tblGrid>
      <w:tr>
        <w:tc>
          <w:tcPr>
            <w:tcW w:type="dxa" w:w="3500"/>
            <w:tcBorders>
              <w:top w:val="none" w:sz="0"/>
              <w:left w:val="none" w:sz="0"/>
              <w:bottom w:val="none" w:sz="0"/>
              <w:right w:val="none" w:sz="0"/>
            </w:tcBorders>
            <w:vAlign w:val="top"/>
          </w:tcPr>
          <w:p>
            <w:pPr>
              <w:spacing w:after="240"/>
            </w:pPr>
            <w:r>
              <w:rPr>
                <w:rFonts w:ascii="Times New Roman" w:cs="Times New Roman" w:eastAsia="Times New Roman" w:hAnsi="Times New Roman"/>
                <w:b/>
                <w:bCs/>
                <w:sz w:val="24"/>
                <w:szCs w:val="24"/>
              </w:rPr>
              <w:t xml:space="preserve">PLAINTIFF</w:t>
            </w:r>
          </w:p>
          <w:p>
            <w:pPr>
              <w:spacing w:after="200"/>
              <w:jc w:val="center"/>
            </w:pPr>
            <w:r>
              <w:rPr>
                <w:rFonts w:ascii="Times New Roman" w:cs="Times New Roman" w:eastAsia="Times New Roman" w:hAnsi="Times New Roman"/>
                <w:sz w:val="24"/>
                <w:szCs w:val="24"/>
              </w:rPr>
              <w:t xml:space="preserve">Plaintiff(s),</w:t>
            </w:r>
          </w:p>
          <w:p>
            <w:pPr>
              <w:spacing w:after="200"/>
              <w:ind w:left="720"/>
            </w:pPr>
            <w:r>
              <w:rPr>
                <w:rFonts w:ascii="Times New Roman" w:cs="Times New Roman" w:eastAsia="Times New Roman" w:hAnsi="Times New Roman"/>
                <w:sz w:val="24"/>
                <w:szCs w:val="24"/>
              </w:rPr>
              <w:t xml:space="preserve">vs.</w:t>
            </w:r>
          </w:p>
          <w:p>
            <w:pPr>
              <w:spacing w:after="240"/>
            </w:pPr>
            <w:r>
              <w:rPr>
                <w:rFonts w:ascii="Times New Roman" w:cs="Times New Roman" w:eastAsia="Times New Roman" w:hAnsi="Times New Roman"/>
                <w:b/>
                <w:bCs/>
                <w:sz w:val="24"/>
                <w:szCs w:val="24"/>
              </w:rPr>
              <w:t xml:space="preserve">DEFENDANT</w:t>
            </w:r>
          </w:p>
          <w:p>
            <w:pPr>
              <w:spacing w:after="0"/>
              <w:jc w:val="center"/>
            </w:pPr>
            <w:r>
              <w:rPr>
                <w:rFonts w:ascii="Times New Roman" w:cs="Times New Roman" w:eastAsia="Times New Roman" w:hAnsi="Times New Roman"/>
                <w:sz w:val="24"/>
                <w:szCs w:val="24"/>
              </w:rPr>
              <w:t xml:space="preserve">Defendant(s).</w:t>
            </w:r>
          </w:p>
        </w:tc>
        <w:tc>
          <w:tcPr>
            <w:tcW w:type="dxa" w:w="230"/>
            <w:tcBorders>
              <w:top w:val="none" w:sz="0"/>
              <w:left w:val="none" w:sz="0"/>
              <w:bottom w:val="none" w:sz="0"/>
              <w:right w:val="none" w:sz="0"/>
            </w:tcBorders>
            <w:vAlign w:val="top"/>
          </w:tcPr>
          <w:p>
            <w:pPr>
              <w:spacing w:after="0" w:line="240" w:lineRule="exact"/>
            </w:pPr>
            <w:r>
              <w:rPr>
                <w:rFonts w:ascii="Times New Roman" w:cs="Times New Roman" w:eastAsia="Times New Roman" w:hAnsi="Times New Roman"/>
                <w:sz w:val="24"/>
                <w:szCs w:val="24"/>
              </w:rPr>
              <w:t xml:space="preserve"> )</w:t>
            </w:r>
          </w:p>
          <w:p>
            <w:pPr>
              <w:spacing w:after="0" w:line="240" w:lineRule="exact"/>
            </w:pPr>
            <w:r>
              <w:rPr>
                <w:rFonts w:ascii="Times New Roman" w:cs="Times New Roman" w:eastAsia="Times New Roman" w:hAnsi="Times New Roman"/>
                <w:sz w:val="24"/>
                <w:szCs w:val="24"/>
              </w:rPr>
              <w:t xml:space="preserve"> )</w:t>
            </w:r>
          </w:p>
          <w:p>
            <w:pPr>
              <w:spacing w:after="0" w:line="240" w:lineRule="exact"/>
            </w:pPr>
            <w:r>
              <w:rPr>
                <w:rFonts w:ascii="Times New Roman" w:cs="Times New Roman" w:eastAsia="Times New Roman" w:hAnsi="Times New Roman"/>
                <w:sz w:val="24"/>
                <w:szCs w:val="24"/>
              </w:rPr>
              <w:t xml:space="preserve"> )</w:t>
            </w:r>
          </w:p>
          <w:p>
            <w:pPr>
              <w:spacing w:after="0" w:line="240" w:lineRule="exact"/>
            </w:pPr>
            <w:r>
              <w:rPr>
                <w:rFonts w:ascii="Times New Roman" w:cs="Times New Roman" w:eastAsia="Times New Roman" w:hAnsi="Times New Roman"/>
                <w:sz w:val="24"/>
                <w:szCs w:val="24"/>
              </w:rPr>
              <w:t xml:space="preserve"> )</w:t>
            </w:r>
          </w:p>
          <w:p>
            <w:pPr>
              <w:spacing w:after="0" w:line="240" w:lineRule="exact"/>
            </w:pPr>
            <w:r>
              <w:rPr>
                <w:rFonts w:ascii="Times New Roman" w:cs="Times New Roman" w:eastAsia="Times New Roman" w:hAnsi="Times New Roman"/>
                <w:sz w:val="24"/>
                <w:szCs w:val="24"/>
              </w:rPr>
              <w:t xml:space="preserve"> )</w:t>
            </w:r>
          </w:p>
          <w:p>
            <w:pPr>
              <w:spacing w:after="0" w:line="240" w:lineRule="exact"/>
            </w:pPr>
            <w:r>
              <w:rPr>
                <w:rFonts w:ascii="Times New Roman" w:cs="Times New Roman" w:eastAsia="Times New Roman" w:hAnsi="Times New Roman"/>
                <w:sz w:val="24"/>
                <w:szCs w:val="24"/>
              </w:rPr>
              <w:t xml:space="preserve"> )</w:t>
            </w:r>
          </w:p>
          <w:p>
            <w:pPr>
              <w:spacing w:after="0" w:line="240" w:lineRule="exact"/>
            </w:pPr>
            <w:r>
              <w:rPr>
                <w:rFonts w:ascii="Times New Roman" w:cs="Times New Roman" w:eastAsia="Times New Roman" w:hAnsi="Times New Roman"/>
                <w:sz w:val="24"/>
                <w:szCs w:val="24"/>
              </w:rPr>
              <w:t xml:space="preserve"> )</w:t>
            </w:r>
          </w:p>
          <w:p>
            <w:pPr>
              <w:spacing w:after="0" w:line="240" w:lineRule="exact"/>
            </w:pPr>
            <w:r>
              <w:rPr>
                <w:rFonts w:ascii="Times New Roman" w:cs="Times New Roman" w:eastAsia="Times New Roman" w:hAnsi="Times New Roman"/>
                <w:sz w:val="24"/>
                <w:szCs w:val="24"/>
              </w:rPr>
              <w:t xml:space="preserve"> )</w:t>
            </w:r>
          </w:p>
          <w:p>
            <w:pPr>
              <w:spacing w:after="0" w:line="240" w:lineRule="exact"/>
            </w:pPr>
            <w:r>
              <w:rPr>
                <w:rFonts w:ascii="Times New Roman" w:cs="Times New Roman" w:eastAsia="Times New Roman" w:hAnsi="Times New Roman"/>
                <w:sz w:val="24"/>
                <w:szCs w:val="24"/>
              </w:rPr>
              <w:t xml:space="preserve"> )</w:t>
            </w:r>
          </w:p>
          <w:p>
            <w:pPr>
              <w:spacing w:after="0" w:line="240" w:lineRule="exact"/>
            </w:pPr>
            <w:r>
              <w:rPr>
                <w:rFonts w:ascii="Times New Roman" w:cs="Times New Roman" w:eastAsia="Times New Roman" w:hAnsi="Times New Roman"/>
                <w:sz w:val="24"/>
                <w:szCs w:val="24"/>
              </w:rPr>
              <w:t xml:space="preserve"> )</w:t>
            </w:r>
          </w:p>
          <w:p>
            <w:pPr>
              <w:spacing w:after="0" w:line="240" w:lineRule="exact"/>
            </w:pPr>
            <w:r>
              <w:rPr>
                <w:rFonts w:ascii="Times New Roman" w:cs="Times New Roman" w:eastAsia="Times New Roman" w:hAnsi="Times New Roman"/>
                <w:sz w:val="24"/>
                <w:szCs w:val="24"/>
              </w:rPr>
              <w:t xml:space="preserve"> )</w:t>
            </w:r>
          </w:p>
          <w:p>
            <w:pPr>
              <w:spacing w:after="0" w:line="240" w:lineRule="exact"/>
            </w:pPr>
            <w:r>
              <w:rPr>
                <w:rFonts w:ascii="Times New Roman" w:cs="Times New Roman" w:eastAsia="Times New Roman" w:hAnsi="Times New Roman"/>
                <w:sz w:val="24"/>
                <w:szCs w:val="24"/>
              </w:rPr>
              <w:t xml:space="preserve"> )</w:t>
            </w:r>
          </w:p>
          <w:p>
            <w:pPr>
              <w:spacing w:after="0" w:line="240" w:lineRule="exact"/>
            </w:pPr>
            <w:r>
              <w:rPr>
                <w:rFonts w:ascii="Times New Roman" w:cs="Times New Roman" w:eastAsia="Times New Roman" w:hAnsi="Times New Roman"/>
                <w:sz w:val="24"/>
                <w:szCs w:val="24"/>
              </w:rPr>
              <w:t xml:space="preserve"> )</w:t>
            </w:r>
          </w:p>
          <w:p>
            <w:pPr>
              <w:spacing w:after="0" w:line="240" w:lineRule="exact"/>
            </w:pPr>
            <w:r>
              <w:rPr>
                <w:rFonts w:ascii="Times New Roman" w:cs="Times New Roman" w:eastAsia="Times New Roman" w:hAnsi="Times New Roman"/>
                <w:sz w:val="24"/>
                <w:szCs w:val="24"/>
              </w:rPr>
              <w:t xml:space="preserve"> )</w:t>
            </w:r>
          </w:p>
          <w:p>
            <w:pPr>
              <w:spacing w:after="0" w:line="240" w:lineRule="exact"/>
            </w:pPr>
            <w:r>
              <w:rPr>
                <w:rFonts w:ascii="Times New Roman" w:cs="Times New Roman" w:eastAsia="Times New Roman" w:hAnsi="Times New Roman"/>
                <w:sz w:val="24"/>
                <w:szCs w:val="24"/>
              </w:rPr>
              <w:t xml:space="preserve"> )</w:t>
            </w:r>
          </w:p>
          <w:p>
            <w:pPr>
              <w:spacing w:after="0" w:line="240" w:lineRule="exact"/>
            </w:pPr>
            <w:r>
              <w:rPr>
                <w:rFonts w:ascii="Times New Roman" w:cs="Times New Roman" w:eastAsia="Times New Roman" w:hAnsi="Times New Roman"/>
                <w:sz w:val="24"/>
                <w:szCs w:val="24"/>
              </w:rPr>
              <w:t xml:space="preserve"> )</w:t>
            </w:r>
          </w:p>
        </w:tc>
        <w:tc>
          <w:tcPr>
            <w:tcW w:type="dxa" w:w="5630"/>
            <w:tcBorders>
              <w:top w:val="none" w:sz="0"/>
              <w:left w:val="none" w:sz="0"/>
              <w:bottom w:val="none" w:sz="0"/>
              <w:right w:val="none" w:sz="0"/>
            </w:tcBorders>
            <w:vAlign w:val="top"/>
          </w:tcPr>
          <w:p>
            <w:pPr>
              <w:spacing w:after="200"/>
            </w:pPr>
            <w:r>
              <w:rPr>
                <w:rFonts w:ascii="Times New Roman" w:cs="Times New Roman" w:eastAsia="Times New Roman" w:hAnsi="Times New Roman"/>
                <w:sz w:val="24"/>
                <w:szCs w:val="24"/>
              </w:rPr>
              <w:t xml:space="preserve">Case No.: [#######]</w:t>
            </w:r>
          </w:p>
          <w:p>
            <w:pPr>
              <w:spacing w:after="240"/>
            </w:pPr>
            <w:r>
              <w:rPr>
                <w:rFonts w:ascii="Times New Roman" w:cs="Times New Roman" w:eastAsia="Times New Roman" w:hAnsi="Times New Roman"/>
                <w:b/>
                <w:bCs/>
                <w:sz w:val="24"/>
                <w:szCs w:val="24"/>
              </w:rPr>
              <w:t xml:space="preserve">REQUEST FOR LEAVE TO PARTICIPATE AS AMICUS CURIAE</w:t>
            </w:r>
          </w:p>
          <w:p>
            <w:pPr>
              <w:spacing w:after="0"/>
            </w:pPr>
            <w:r>
              <w:rPr>
                <w:rFonts w:ascii="Times New Roman" w:cs="Times New Roman" w:eastAsia="Times New Roman" w:hAnsi="Times New Roman"/>
                <w:b/>
                <w:bCs/>
                <w:sz w:val="24"/>
                <w:szCs w:val="24"/>
              </w:rPr>
              <w:t xml:space="preserve">DATE: </w:t>
            </w:r>
            <w:r>
              <w:rPr>
                <w:rFonts w:ascii="Times New Roman" w:cs="Times New Roman" w:eastAsia="Times New Roman" w:hAnsi="Times New Roman"/>
                <w:b/>
                <w:bCs/>
                <w:sz w:val="24"/>
                <w:szCs w:val="24"/>
              </w:rPr>
              <w:t xml:space="preserve">(date of hearing)</w:t>
            </w:r>
          </w:p>
          <w:p>
            <w:pPr>
              <w:spacing w:after="0"/>
            </w:pPr>
            <w:r>
              <w:rPr>
                <w:rFonts w:ascii="Times New Roman" w:cs="Times New Roman" w:eastAsia="Times New Roman" w:hAnsi="Times New Roman"/>
                <w:b/>
                <w:bCs/>
                <w:sz w:val="24"/>
                <w:szCs w:val="24"/>
              </w:rPr>
              <w:t xml:space="preserve">TIME: </w:t>
            </w:r>
            <w:r>
              <w:rPr>
                <w:rFonts w:ascii="Times New Roman" w:cs="Times New Roman" w:eastAsia="Times New Roman" w:hAnsi="Times New Roman"/>
                <w:b/>
                <w:bCs/>
                <w:sz w:val="24"/>
                <w:szCs w:val="24"/>
              </w:rPr>
              <w:t xml:space="preserve">(time of hearing)</w:t>
            </w:r>
          </w:p>
          <w:p>
            <w:pPr>
              <w:spacing w:after="120"/>
            </w:pPr>
            <w:r>
              <w:rPr>
                <w:rFonts w:ascii="Times New Roman" w:cs="Times New Roman" w:eastAsia="Times New Roman" w:hAnsi="Times New Roman"/>
                <w:b/>
                <w:bCs/>
                <w:sz w:val="24"/>
                <w:szCs w:val="24"/>
              </w:rPr>
              <w:t xml:space="preserve">DEPT: </w:t>
            </w:r>
            <w:r>
              <w:rPr>
                <w:rFonts w:ascii="Times New Roman" w:cs="Times New Roman" w:eastAsia="Times New Roman" w:hAnsi="Times New Roman"/>
                <w:b/>
                <w:bCs/>
                <w:sz w:val="24"/>
                <w:szCs w:val="24"/>
              </w:rPr>
              <w:t xml:space="preserve">(department number)</w:t>
            </w:r>
          </w:p>
          <w:p>
            <w:pPr>
              <w:spacing w:after="0"/>
            </w:pPr>
            <w:r>
              <w:rPr>
                <w:rFonts w:ascii="Times New Roman" w:cs="Times New Roman" w:eastAsia="Times New Roman" w:hAnsi="Times New Roman"/>
                <w:sz w:val="24"/>
                <w:szCs w:val="24"/>
              </w:rPr>
              <w:t xml:space="preserve">Judge: (name of hearing judge)</w:t>
            </w:r>
          </w:p>
          <w:p>
            <w:pPr>
              <w:spacing w:after="0"/>
            </w:pPr>
            <w:r>
              <w:rPr>
                <w:rFonts w:ascii="Times New Roman" w:cs="Times New Roman" w:eastAsia="Times New Roman" w:hAnsi="Times New Roman"/>
                <w:sz w:val="24"/>
                <w:szCs w:val="24"/>
              </w:rPr>
              <w:t xml:space="preserve">Action Filed: (date)</w:t>
            </w:r>
          </w:p>
          <w:p>
            <w:pPr>
              <w:spacing w:after="0"/>
            </w:pPr>
            <w:r>
              <w:rPr>
                <w:rFonts w:ascii="Times New Roman" w:cs="Times New Roman" w:eastAsia="Times New Roman" w:hAnsi="Times New Roman"/>
                <w:sz w:val="24"/>
                <w:szCs w:val="24"/>
              </w:rPr>
              <w:t xml:space="preserve">Trial Date: (Date or Unassigned)</w:t>
            </w:r>
          </w:p>
        </w:tc>
      </w:tr>
    </w:tbl>
    <w:p>
      <w:r>
        <w:br w:type="page"/>
      </w:r>
    </w:p>
    <w:p>
      <w:pPr>
        <w:spacing w:before="0"/>
      </w:pPr>
    </w:p>
    <w:p>
      <w:pPr>
        <w:pStyle w:val="Heading2"/>
        <w:spacing w:before="240" w:after="120"/>
      </w:pPr>
      <w:r>
        <w:rPr>
          <w:b/>
          <w:bCs/>
        </w:rPr>
        <w:t xml:space="preserve">I. Interest of Amicus Curiae</w:t>
      </w:r>
    </w:p>
    <w:p>
      <w:pPr>
        <w:spacing w:after="200"/>
      </w:pPr>
      <w:r>
        <w:rPr>
          <w:b/>
          <w:bCs/>
        </w:rPr>
        <w:t xml:space="preserve">Option A: Public Interest / Civil Liberties Focus</w:t>
      </w:r>
      <w:r>
        <w:br/>
        <w:t xml:space="preserve"/>
      </w:r>
      <w:r>
        <w:t xml:space="preserve">
The [Organization Name] is a non-profit organization dedicated to the preservation of due process rights and the proper administration of justice within Minnesota’s administrative and judicial systems. The Organization has a profound interest in ensuring that statutory mechanisms for judicial review—specifically those provided under Minn. Stat. § 624.7131 and § 624.7132—remain accessible to citizens seeking to correct governmental errors regarding their civil rights. The Organization seeks to participate to highlight how the lower court’s expansion of the "collateral attack" doctrine improperly insulates administrative decisions from the judicial scrutiny expressly authorized by the Legislature.</w:t>
      </w:r>
    </w:p>
    <w:p>
      <w:pPr>
        <w:spacing w:after="200"/>
      </w:pPr>
      <w:r>
        <w:rPr>
          <w:b/>
          <w:bCs/>
        </w:rPr>
        <w:t xml:space="preserve">Option B: Member Interest / Firearm Rights Focus</w:t>
      </w:r>
      <w:r>
        <w:br/>
        <w:t xml:space="preserve"/>
      </w:r>
      <w:r>
        <w:t xml:space="preserve">
The [Organization Name] represents thousands of law-abiding Minnesota citizens committed to the safe and lawful exercise of Second Amendment rights. A core function of the Organization is ensuring that the background check and permit-to-purchase systems operate accurately, transparently, and in strict accordance with statutory disqualification criteria. The Organization has a vital interest in this matter because the Court of Appeals’ decision creates a procedural trap that prevents individuals from challenging erroneous denials based on misclassified criminal records. Our participation will demonstrate the statewide chilling effect this precedent imposes on lawful firearm owners who rely on plea agreements and sentencing orders.</w:t>
      </w:r>
    </w:p>
    <w:p>
      <w:pPr>
        <w:pStyle w:val="Heading2"/>
        <w:spacing w:before="240" w:after="120"/>
      </w:pPr>
      <w:r>
        <w:rPr>
          <w:b/>
          <w:bCs/>
        </w:rPr>
        <w:t xml:space="preserve">II. Reasons Why Amicus Participation Will Assist the Court in Deciding Whether to Grant Review</w:t>
      </w:r>
    </w:p>
    <w:p>
      <w:pPr>
        <w:spacing w:after="100"/>
        <w:ind w:left="720"/>
      </w:pPr>
      <w:r>
        <w:t xml:space="preserve">• </w:t>
      </w:r>
      <w:r>
        <w:rPr>
          <w:b/>
          <w:bCs/>
        </w:rPr>
        <w:t xml:space="preserve">Clarifying the Scope of Statutory Appeals:</w:t>
      </w:r>
      <w:r>
        <w:t xml:space="preserve"> Amicus will provide a broader analysis of how the Court of Appeals’ decision effectively nullifies Minn. Stat. § 624.7131, subd. 8, by treating a statutorily authorized appeal of an administrative denial as an impermissible attack on a prior criminal judgment.</w:t>
      </w:r>
    </w:p>
    <w:p>
      <w:pPr>
        <w:spacing w:after="100"/>
        <w:ind w:left="720"/>
      </w:pPr>
      <w:r>
        <w:t xml:space="preserve">• </w:t>
      </w:r>
      <w:r>
        <w:rPr>
          <w:b/>
          <w:bCs/>
        </w:rPr>
        <w:t xml:space="preserve">Distinguishing Civil Regulatory Challenges from Criminal Post-Conviction Relief:</w:t>
      </w:r>
      <w:r>
        <w:t xml:space="preserve"> Amicus will delineate the critical legal distinction between seeking to overturn a conviction (criminal) and seeking to enforce the specific terms and civil consequences of that conviction as adjudicated (civil), a distinction the lower court conflated.</w:t>
      </w:r>
    </w:p>
    <w:p>
      <w:pPr>
        <w:spacing w:after="100"/>
        <w:ind w:left="720"/>
      </w:pPr>
      <w:r>
        <w:t xml:space="preserve">• </w:t>
      </w:r>
      <w:r>
        <w:rPr>
          <w:b/>
          <w:bCs/>
        </w:rPr>
        <w:t xml:space="preserve">Highlighting Statewide Recurrence:</w:t>
      </w:r>
      <w:r>
        <w:t xml:space="preserve"> Amicus will present data or legal context showing that reliance on plea agreements regarding civil rights restoration is a common practice in Minnesota district courts, and that the lower court’s ruling destabilizes the reliability of these judicial assurances statewide.</w:t>
      </w:r>
    </w:p>
    <w:p>
      <w:pPr>
        <w:spacing w:after="100"/>
        <w:ind w:left="720"/>
      </w:pPr>
      <w:r>
        <w:t xml:space="preserve">• </w:t>
      </w:r>
      <w:r>
        <w:rPr>
          <w:b/>
          <w:bCs/>
        </w:rPr>
        <w:t xml:space="preserve">Preventing Unchecked Administrative Discretion:</w:t>
      </w:r>
      <w:r>
        <w:t xml:space="preserve"> Amicus will argue that denying review allows law enforcement agencies to act as the final arbiter of a conviction’s legal classification—even when contradicting the sentencing court—by shielding such determinations behind the "collateral attack" bar.</w:t>
      </w:r>
    </w:p>
    <w:p>
      <w:pPr>
        <w:spacing w:after="100"/>
        <w:ind w:left="720"/>
      </w:pPr>
      <w:r>
        <w:t xml:space="preserve">• </w:t>
      </w:r>
      <w:r>
        <w:rPr>
          <w:b/>
          <w:bCs/>
        </w:rPr>
        <w:t xml:space="preserve">Preserving Judicial Economy:</w:t>
      </w:r>
      <w:r>
        <w:t xml:space="preserve"> Amicus will demonstrate that forcing applicants to reopen closed criminal files via post-conviction proceedings merely to correct a Sheriff’s administrative error regarding a permit application is an inefficient use of judicial resources compared to the direct statutory appeal process.</w:t>
      </w:r>
    </w:p>
    <w:p>
      <w:pPr>
        <w:pStyle w:val="Heading2"/>
        <w:spacing w:before="240" w:after="120"/>
      </w:pPr>
      <w:r>
        <w:rPr>
          <w:b/>
          <w:bCs/>
        </w:rPr>
        <w:t xml:space="preserve">III. Procedural Posture: The Court of Appeals’ Decision</w:t>
      </w:r>
    </w:p>
    <w:p>
      <w:pPr>
        <w:spacing w:after="100"/>
        <w:ind w:left="720"/>
      </w:pPr>
      <w:r>
        <w:t xml:space="preserve">• </w:t>
      </w:r>
      <w:r>
        <w:t xml:space="preserve">The Court of Appeals affirmed the District Court’s denial of the Petitioner’s request for a writ of mandamus regarding a permit to purchase a firearm.</w:t>
      </w:r>
    </w:p>
    <w:p>
      <w:pPr>
        <w:spacing w:after="100"/>
        <w:ind w:left="720"/>
      </w:pPr>
      <w:r>
        <w:t xml:space="preserve">• </w:t>
      </w:r>
      <w:r>
        <w:t xml:space="preserve">The court declined to reach the merits of whether the Petitioner is actually disqualified under Minnesota law or whether the Sheriff’s "dangerousness" finding was arbitrary and capricious.</w:t>
      </w:r>
    </w:p>
    <w:p>
      <w:pPr>
        <w:spacing w:after="100"/>
        <w:ind w:left="720"/>
      </w:pPr>
      <w:r>
        <w:t xml:space="preserve">• </w:t>
      </w:r>
      <w:r>
        <w:t xml:space="preserve">Instead, the court held that the Petitioner’s argument—that his conviction was for a gross misdemeanor and not a felony—constituted an impermissible collateral attack on the underlying criminal judgment.</w:t>
      </w:r>
    </w:p>
    <w:p>
      <w:pPr>
        <w:spacing w:after="100"/>
        <w:ind w:left="720"/>
      </w:pPr>
      <w:r>
        <w:t xml:space="preserve">• </w:t>
      </w:r>
      <w:r>
        <w:t xml:space="preserve">The decision treated the Sheriff’s administrative interpretation of the criminal record as binding, ruling that any challenge to that interpretation must occur in the criminal file, not in the civil permit appeal.</w:t>
      </w:r>
    </w:p>
    <w:p>
      <w:pPr>
        <w:spacing w:after="100"/>
        <w:ind w:left="720"/>
      </w:pPr>
      <w:r>
        <w:t xml:space="preserve">• </w:t>
      </w:r>
      <w:r>
        <w:t xml:space="preserve">The court effectively ruled that the explicit assurances regarding firearm rights made during the plea and sentencing hearings could not be enforced through the civil permit appeals process.</w:t>
      </w:r>
    </w:p>
    <w:p>
      <w:pPr>
        <w:pStyle w:val="Heading2"/>
        <w:spacing w:before="240" w:after="120"/>
      </w:pPr>
      <w:r>
        <w:rPr>
          <w:b/>
          <w:bCs/>
        </w:rPr>
        <w:t xml:space="preserve">IV. Suitability of the Vehicle</w:t>
      </w:r>
    </w:p>
    <w:p>
      <w:pPr>
        <w:spacing w:after="100"/>
        <w:ind w:left="720"/>
      </w:pPr>
      <w:r>
        <w:t xml:space="preserve">• </w:t>
      </w:r>
      <w:r>
        <w:rPr>
          <w:b/>
          <w:bCs/>
        </w:rPr>
        <w:t xml:space="preserve">Undisputed Record of Sentencing Intent:</w:t>
      </w:r>
      <w:r>
        <w:t xml:space="preserve"> This case presents a stark and fully developed record where the sentencing court’s intent (probation-limited restriction) and the administrative agency’s action (permanent denial based on "felony" status) are in direct conflict, isolating the legal issue of reviewability.</w:t>
      </w:r>
    </w:p>
    <w:p>
      <w:pPr>
        <w:spacing w:after="100"/>
        <w:ind w:left="720"/>
      </w:pPr>
      <w:r>
        <w:t xml:space="preserve">• </w:t>
      </w:r>
      <w:r>
        <w:rPr>
          <w:b/>
          <w:bCs/>
        </w:rPr>
        <w:t xml:space="preserve">Pure Question of Statutory Access:</w:t>
      </w:r>
      <w:r>
        <w:t xml:space="preserve"> The petition presents a clean legal question regarding the interaction between the collateral attack doctrine and the statutory right to de novo review of permit denials, unburdened by complex factual disputes regarding the underlying conduct.</w:t>
      </w:r>
    </w:p>
    <w:p>
      <w:pPr>
        <w:spacing w:after="100"/>
        <w:ind w:left="720"/>
      </w:pPr>
      <w:r>
        <w:t xml:space="preserve">• </w:t>
      </w:r>
      <w:r>
        <w:rPr>
          <w:b/>
          <w:bCs/>
        </w:rPr>
        <w:t xml:space="preserve">Finality of the Bar to Relief:</w:t>
      </w:r>
      <w:r>
        <w:t xml:space="preserve"> Because the Court of Appeals disposed of the case on procedural grounds (collateral attack) rather than the merits of the disqualification, this case is the ideal vehicle to determine whether civil plaintiffs are categorically barred from litigating the scope of their convictions in administrative appeals.</w:t>
      </w:r>
    </w:p>
    <w:sectPr>
      <w:footerReference w:type="default" r:id="rId6"/>
      <w:pgSz w:w="11906" w:h="16838" w:orient="portrait"/>
      <w:pgMar w:top="1440" w:right="1440" w:bottom="1440" w:left="17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bottom w:val="single" w:color="000000" w:sz="6" w:space="1"/>
      </w:pBdr>
      <w:spacing w:after="120"/>
      <w:jc w:val="center"/>
    </w:pPr>
    <w:r>
      <w:rPr>
        <w:rFonts w:ascii="Times New Roman" w:cs="Times New Roman" w:eastAsia="Times New Roman" w:hAnsi="Times New Roman"/>
        <w:sz w:val="20"/>
        <w:szCs w:val="20"/>
      </w:rPr>
      <w:t xml:space="preserve">- </w:t>
    </w:r>
    <w:r>
      <w:rPr>
        <w:rFonts w:ascii="Times New Roman" w:cs="Times New Roman" w:eastAsia="Times New Roman" w:hAnsi="Times New Roman"/>
        <w:sz w:val="20"/>
        <w:szCs w:val="20"/>
      </w:rPr>
      <w:fldChar w:fldCharType="begin"/>
      <w:instrText xml:space="preserve">PAGE</w:instrText>
      <w:fldChar w:fldCharType="separate"/>
      <w:fldChar w:fldCharType="end"/>
    </w:r>
    <w:r>
      <w:rPr>
        <w:rFonts w:ascii="Times New Roman" w:cs="Times New Roman" w:eastAsia="Times New Roman" w:hAnsi="Times New Roman"/>
        <w:sz w:val="20"/>
        <w:szCs w:val="20"/>
      </w:rPr>
      <w:t xml:space="preserve"> -</w:t>
    </w:r>
  </w:p>
  <w:p>
    <w:pPr>
      <w:jc w:val="center"/>
    </w:pPr>
    <w:r>
      <w:rPr>
        <w:rFonts w:ascii="Times New Roman" w:cs="Times New Roman" w:eastAsia="Times New Roman" w:hAnsi="Times New Roman"/>
        <w:sz w:val="20"/>
        <w:szCs w:val="20"/>
      </w:rPr>
      <w:t xml:space="preserve">REQUEST FOR LEAVE TO PARTICIPATE AS AMICUS CURIAE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Normal">
    <w:name w:val="Normal"/>
    <w:pPr>
      <w:spacing w:after="200"/>
    </w:pPr>
    <w:rPr>
      <w:rFonts w:ascii="Times New Roman" w:cs="Times New Roman" w:eastAsia="Times New Roman" w:hAnsi="Times New Roman"/>
      <w:color w:val="000000"/>
      <w:sz w:val="24"/>
      <w:szCs w:val="24"/>
    </w:rPr>
  </w:style>
  <w:style w:type="paragraph" w:styleId="Heading1">
    <w:name w:val="Heading 1"/>
    <w:basedOn w:val="Normal"/>
    <w:next w:val="Normal"/>
    <w:qFormat/>
    <w:pPr>
      <w:spacing w:before="240" w:after="120"/>
    </w:pPr>
    <w:rPr>
      <w:rFonts w:ascii="Times New Roman" w:cs="Times New Roman" w:eastAsia="Times New Roman" w:hAnsi="Times New Roman"/>
      <w:b/>
      <w:bCs/>
      <w:color w:val="000000"/>
      <w:sz w:val="32"/>
      <w:szCs w:val="32"/>
    </w:rPr>
  </w:style>
  <w:style w:type="paragraph" w:styleId="Heading2">
    <w:name w:val="Heading 2"/>
    <w:basedOn w:val="Normal"/>
    <w:next w:val="Normal"/>
    <w:qFormat/>
    <w:pPr>
      <w:spacing w:before="240" w:after="120"/>
    </w:pPr>
    <w:rPr>
      <w:rFonts w:ascii="Times New Roman" w:cs="Times New Roman" w:eastAsia="Times New Roman" w:hAnsi="Times New Roman"/>
      <w:b/>
      <w:bCs/>
      <w:color w:val="000000"/>
      <w:sz w:val="28"/>
      <w:szCs w:val="28"/>
    </w:rPr>
  </w:style>
  <w:style w:type="paragraph" w:styleId="Heading3">
    <w:name w:val="Heading 3"/>
    <w:basedOn w:val="Normal"/>
    <w:next w:val="Normal"/>
    <w:qFormat/>
    <w:pPr>
      <w:spacing w:before="240" w:after="120"/>
    </w:pPr>
    <w:rPr>
      <w:rFonts w:ascii="Times New Roman" w:cs="Times New Roman" w:eastAsia="Times New Roman" w:hAnsi="Times New Roman"/>
      <w:b/>
      <w:bCs/>
      <w:color w:val="00000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LEAVE TO PARTICIPATE AS AMICUS CURIAE</dc:title>
  <dc:creator>StrongSuit</dc:creator>
  <cp:lastModifiedBy>Un-named</cp:lastModifiedBy>
  <cp:revision>1</cp:revision>
  <dcterms:created xsi:type="dcterms:W3CDTF">2026-02-23T03:10:01.622Z</dcterms:created>
  <dcterms:modified xsi:type="dcterms:W3CDTF">2026-02-23T03:10:01.622Z</dcterms:modified>
</cp:coreProperties>
</file>

<file path=docProps/custom.xml><?xml version="1.0" encoding="utf-8"?>
<Properties xmlns="http://schemas.openxmlformats.org/officeDocument/2006/custom-properties" xmlns:vt="http://schemas.openxmlformats.org/officeDocument/2006/docPropsVTypes"/>
</file>